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2D" w:rsidRDefault="00D7322D" w:rsidP="00D7322D">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b/>
          <w:bCs/>
          <w:noProof/>
          <w:kern w:val="0"/>
          <w:sz w:val="32"/>
          <w:szCs w:val="32"/>
          <w14:ligatures w14:val="none"/>
        </w:rPr>
        <mc:AlternateContent>
          <mc:Choice Requires="wps">
            <w:drawing>
              <wp:anchor distT="0" distB="0" distL="114300" distR="114300" simplePos="0" relativeHeight="251659264" behindDoc="0" locked="0" layoutInCell="1" allowOverlap="1" wp14:anchorId="114EFA7E" wp14:editId="1DEC7424">
                <wp:simplePos x="0" y="0"/>
                <wp:positionH relativeFrom="column">
                  <wp:posOffset>8029575</wp:posOffset>
                </wp:positionH>
                <wp:positionV relativeFrom="paragraph">
                  <wp:posOffset>-733425</wp:posOffset>
                </wp:positionV>
                <wp:extent cx="905608" cy="316523"/>
                <wp:effectExtent l="0" t="0" r="8890" b="7620"/>
                <wp:wrapNone/>
                <wp:docPr id="21" name="Text Box 21"/>
                <wp:cNvGraphicFramePr/>
                <a:graphic xmlns:a="http://schemas.openxmlformats.org/drawingml/2006/main">
                  <a:graphicData uri="http://schemas.microsoft.com/office/word/2010/wordprocessingShape">
                    <wps:wsp>
                      <wps:cNvSpPr txBox="1"/>
                      <wps:spPr>
                        <a:xfrm>
                          <a:off x="0" y="0"/>
                          <a:ext cx="905608" cy="316523"/>
                        </a:xfrm>
                        <a:prstGeom prst="rect">
                          <a:avLst/>
                        </a:prstGeom>
                        <a:solidFill>
                          <a:schemeClr val="lt1"/>
                        </a:solidFill>
                        <a:ln w="6350">
                          <a:noFill/>
                        </a:ln>
                      </wps:spPr>
                      <wps:txbx>
                        <w:txbxContent>
                          <w:p w:rsidR="00D7322D" w:rsidRDefault="00D7322D" w:rsidP="00D7322D">
                            <w:pPr>
                              <w:jc w:val="center"/>
                            </w:pPr>
                            <w:r>
                              <w:t>Appendix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4EFA7E" id="_x0000_t202" coordsize="21600,21600" o:spt="202" path="m,l,21600r21600,l21600,xe">
                <v:stroke joinstyle="miter"/>
                <v:path gradientshapeok="t" o:connecttype="rect"/>
              </v:shapetype>
              <v:shape id="Text Box 21" o:spid="_x0000_s1026" type="#_x0000_t202" style="position:absolute;left:0;text-align:left;margin-left:632.25pt;margin-top:-57.75pt;width:71.3pt;height:24.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" fillcolor="white [3201]" stroked="f" strokeweight=".5pt">
                <v:textbox>
                  <w:txbxContent>
                    <w:p w:rsidR="00D7322D" w:rsidRDefault="00D7322D" w:rsidP="00D7322D">
                      <w:pPr>
                        <w:jc w:val="center"/>
                      </w:pPr>
                      <w:r>
                        <w:t>Appendix D</w:t>
                      </w:r>
                    </w:p>
                  </w:txbxContent>
                </v:textbox>
              </v:shape>
            </w:pict>
          </mc:Fallback>
        </mc:AlternateContent>
      </w:r>
      <w:r>
        <w:rPr>
          <w:rFonts w:ascii="TH Sarabun New" w:eastAsiaTheme="minorEastAsia" w:hAnsi="TH Sarabun New" w:cs="TH Sarabun New"/>
          <w:b/>
          <w:bCs/>
          <w:noProof/>
          <w:kern w:val="0"/>
          <w:sz w:val="32"/>
          <w:szCs w:val="32"/>
          <w14:ligatures w14:val="none"/>
        </w:rPr>
        <w:drawing>
          <wp:inline distT="0" distB="0" distL="0" distR="0" wp14:anchorId="53EE69CD" wp14:editId="7C5DB5BC">
            <wp:extent cx="545123" cy="701875"/>
            <wp:effectExtent l="0" t="0" r="762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499140516_LOGO-ENG-233x3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9022" cy="732646"/>
                    </a:xfrm>
                    <a:prstGeom prst="rect">
                      <a:avLst/>
                    </a:prstGeom>
                  </pic:spPr>
                </pic:pic>
              </a:graphicData>
            </a:graphic>
          </wp:inline>
        </w:drawing>
      </w:r>
    </w:p>
    <w:p w:rsidR="00D7322D" w:rsidRPr="0013033F" w:rsidRDefault="00D7322D" w:rsidP="00D7322D">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cs/>
          <w14:ligatures w14:val="none"/>
        </w:rPr>
      </w:pPr>
      <w:r w:rsidRPr="006166A1">
        <w:rPr>
          <w:rFonts w:ascii="TH Sarabun New" w:eastAsiaTheme="minorEastAsia" w:hAnsi="TH Sarabun New" w:cs="TH Sarabun New"/>
          <w:b/>
          <w:bCs/>
          <w:kern w:val="0"/>
          <w:sz w:val="32"/>
          <w:szCs w:val="32"/>
          <w14:ligatures w14:val="none"/>
        </w:rPr>
        <w:t>AUN-QA ASSESSM</w:t>
      </w:r>
      <w:r w:rsidR="00EF3F3F">
        <w:rPr>
          <w:rFonts w:ascii="TH Sarabun New" w:eastAsiaTheme="minorEastAsia" w:hAnsi="TH Sarabun New" w:cs="TH Sarabun New"/>
          <w:b/>
          <w:bCs/>
          <w:kern w:val="0"/>
          <w:sz w:val="32"/>
          <w:szCs w:val="32"/>
          <w14:ligatures w14:val="none"/>
        </w:rPr>
        <w:t>ENT PLANING AT PROGRAMME LEVEL</w:t>
      </w:r>
      <w:r>
        <w:rPr>
          <w:rFonts w:ascii="TH Sarabun New" w:eastAsiaTheme="minorEastAsia" w:hAnsi="TH Sarabun New" w:cs="TH Sarabun New"/>
          <w:b/>
          <w:bCs/>
          <w:kern w:val="0"/>
          <w:sz w:val="32"/>
          <w:szCs w:val="32"/>
          <w14:ligatures w14:val="none"/>
        </w:rPr>
        <w:t xml:space="preserve"> </w:t>
      </w:r>
      <w:bookmarkStart w:id="0" w:name="_GoBack"/>
      <w:bookmarkEnd w:id="0"/>
      <w:r>
        <w:rPr>
          <w:rFonts w:ascii="TH Sarabun New" w:eastAsiaTheme="minorEastAsia" w:hAnsi="TH Sarabun New" w:cs="TH Sarabun New" w:hint="cs"/>
          <w:b/>
          <w:bCs/>
          <w:kern w:val="0"/>
          <w:sz w:val="32"/>
          <w:szCs w:val="32"/>
          <w:cs/>
          <w14:ligatures w14:val="none"/>
        </w:rPr>
        <w:t>(</w:t>
      </w:r>
      <w:r>
        <w:rPr>
          <w:rFonts w:ascii="TH Sarabun New" w:eastAsiaTheme="minorEastAsia" w:hAnsi="TH Sarabun New" w:cs="TH Sarabun New"/>
          <w:b/>
          <w:bCs/>
          <w:kern w:val="0"/>
          <w:sz w:val="32"/>
          <w:szCs w:val="32"/>
          <w14:ligatures w14:val="none"/>
        </w:rPr>
        <w:t>Appendix D</w:t>
      </w:r>
      <w:r>
        <w:rPr>
          <w:rFonts w:ascii="TH Sarabun New" w:eastAsiaTheme="minorEastAsia" w:hAnsi="TH Sarabun New" w:cs="TH Sarabun New" w:hint="cs"/>
          <w:b/>
          <w:bCs/>
          <w:kern w:val="0"/>
          <w:sz w:val="32"/>
          <w:szCs w:val="32"/>
          <w:cs/>
          <w14:ligatures w14:val="none"/>
        </w:rPr>
        <w:t>)</w:t>
      </w:r>
    </w:p>
    <w:tbl>
      <w:tblPr>
        <w:tblStyle w:val="TableGrid"/>
        <w:tblW w:w="13974" w:type="dxa"/>
        <w:tblInd w:w="-431" w:type="dxa"/>
        <w:tblLook w:val="04A0" w:firstRow="1" w:lastRow="0" w:firstColumn="1" w:lastColumn="0" w:noHBand="0" w:noVBand="1"/>
      </w:tblPr>
      <w:tblGrid>
        <w:gridCol w:w="8809"/>
        <w:gridCol w:w="5165"/>
      </w:tblGrid>
      <w:tr w:rsidR="00D7322D" w:rsidRPr="006166A1" w:rsidTr="00D7322D">
        <w:trPr>
          <w:trHeight w:val="963"/>
        </w:trPr>
        <w:tc>
          <w:tcPr>
            <w:tcW w:w="8809"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AUN-</w:t>
            </w:r>
            <w:proofErr w:type="gramStart"/>
            <w:r w:rsidRPr="006166A1">
              <w:rPr>
                <w:rFonts w:ascii="TH Sarabun New" w:eastAsiaTheme="minorEastAsia" w:hAnsi="TH Sarabun New" w:cs="TH Sarabun New"/>
                <w:kern w:val="0"/>
                <w:sz w:val="32"/>
                <w:szCs w:val="32"/>
                <w14:ligatures w14:val="none"/>
              </w:rPr>
              <w:t>QA  Assessment</w:t>
            </w:r>
            <w:proofErr w:type="gramEnd"/>
            <w:r w:rsidRPr="006166A1">
              <w:rPr>
                <w:rFonts w:ascii="TH Sarabun New" w:eastAsiaTheme="minorEastAsia" w:hAnsi="TH Sarabun New" w:cs="TH Sarabun New"/>
                <w:kern w:val="0"/>
                <w:sz w:val="32"/>
                <w:szCs w:val="32"/>
                <w14:ligatures w14:val="none"/>
              </w:rPr>
              <w:t xml:space="preserve"> No.:</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c>
          <w:tcPr>
            <w:tcW w:w="516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Date of Assessment:</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D7322D">
        <w:trPr>
          <w:trHeight w:val="963"/>
        </w:trPr>
        <w:tc>
          <w:tcPr>
            <w:tcW w:w="13974" w:type="dxa"/>
            <w:gridSpan w:val="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 xml:space="preserve">Name of </w:t>
            </w:r>
            <w:proofErr w:type="spellStart"/>
            <w:r w:rsidRPr="006166A1">
              <w:rPr>
                <w:rFonts w:ascii="TH Sarabun New" w:eastAsiaTheme="minorEastAsia" w:hAnsi="TH Sarabun New" w:cs="TH Sarabun New"/>
                <w:kern w:val="0"/>
                <w:sz w:val="32"/>
                <w:szCs w:val="32"/>
                <w14:ligatures w14:val="none"/>
              </w:rPr>
              <w:t>Programme</w:t>
            </w:r>
            <w:proofErr w:type="spellEnd"/>
            <w:r w:rsidRPr="006166A1">
              <w:rPr>
                <w:rFonts w:ascii="TH Sarabun New" w:eastAsiaTheme="minorEastAsia" w:hAnsi="TH Sarabun New" w:cs="TH Sarabun New"/>
                <w:kern w:val="0"/>
                <w:sz w:val="32"/>
                <w:szCs w:val="32"/>
                <w14:ligatures w14:val="none"/>
              </w:rPr>
              <w:t xml:space="preserve"> Assessed:</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D7322D">
        <w:trPr>
          <w:trHeight w:val="963"/>
        </w:trPr>
        <w:tc>
          <w:tcPr>
            <w:tcW w:w="13974" w:type="dxa"/>
            <w:gridSpan w:val="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Name of University:</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D7322D">
        <w:trPr>
          <w:trHeight w:val="963"/>
        </w:trPr>
        <w:tc>
          <w:tcPr>
            <w:tcW w:w="13974" w:type="dxa"/>
            <w:gridSpan w:val="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Name of Faculty/School:</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D7322D">
        <w:trPr>
          <w:trHeight w:val="963"/>
        </w:trPr>
        <w:tc>
          <w:tcPr>
            <w:tcW w:w="8809"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Name of Management Representative/Designation:</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c>
          <w:tcPr>
            <w:tcW w:w="516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Email:</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D7322D">
        <w:trPr>
          <w:trHeight w:val="963"/>
        </w:trPr>
        <w:tc>
          <w:tcPr>
            <w:tcW w:w="13974" w:type="dxa"/>
            <w:gridSpan w:val="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Name of Assessors:</w:t>
            </w:r>
          </w:p>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bl>
    <w:p w:rsidR="00D7322D"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7322D"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7322D"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7322D"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7322D"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7322D" w:rsidRPr="006166A1"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lastRenderedPageBreak/>
        <w:t>Report Summary</w:t>
      </w:r>
    </w:p>
    <w:p w:rsidR="00D7322D" w:rsidRPr="006166A1"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This report is based on the information provided in the self-assessment report (SAR), evidences, site tour and interview with selected stakeholders including academic and support staff, student, alumni and employers. It should be read together with the preliminary findings presented at the closing ceremony where the key strengths and areas for improvement were highlighted.</w:t>
      </w:r>
    </w:p>
    <w:p w:rsidR="00D7322D" w:rsidRPr="0013033F"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 xml:space="preserve">The AUN-QA assessment at </w:t>
      </w:r>
      <w:proofErr w:type="spellStart"/>
      <w:r w:rsidRPr="006166A1">
        <w:rPr>
          <w:rFonts w:ascii="TH Sarabun New" w:eastAsiaTheme="minorEastAsia" w:hAnsi="TH Sarabun New" w:cs="TH Sarabun New"/>
          <w:kern w:val="0"/>
          <w:sz w:val="32"/>
          <w:szCs w:val="32"/>
          <w14:ligatures w14:val="none"/>
        </w:rPr>
        <w:t>programme</w:t>
      </w:r>
      <w:proofErr w:type="spellEnd"/>
      <w:r w:rsidRPr="006166A1">
        <w:rPr>
          <w:rFonts w:ascii="TH Sarabun New" w:eastAsiaTheme="minorEastAsia" w:hAnsi="TH Sarabun New" w:cs="TH Sarabun New"/>
          <w:kern w:val="0"/>
          <w:sz w:val="32"/>
          <w:szCs w:val="32"/>
          <w14:ligatures w14:val="none"/>
        </w:rPr>
        <w:t xml:space="preserve"> level covers 8 criteria. Each criterion is assessed based on a 7-point scale. A summary of the assessment results </w:t>
      </w:r>
      <w:r w:rsidRPr="0013033F">
        <w:rPr>
          <w:rFonts w:ascii="TH Sarabun New" w:eastAsiaTheme="minorEastAsia" w:hAnsi="TH Sarabun New" w:cs="TH Sarabun New"/>
          <w:kern w:val="0"/>
          <w:sz w:val="32"/>
          <w:szCs w:val="32"/>
          <w14:ligatures w14:val="none"/>
        </w:rPr>
        <w:t xml:space="preserve">for the </w:t>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14:ligatures w14:val="none"/>
        </w:rPr>
        <w:t xml:space="preserve"> </w:t>
      </w:r>
      <w:proofErr w:type="spellStart"/>
      <w:r w:rsidRPr="0013033F">
        <w:rPr>
          <w:rFonts w:ascii="TH Sarabun New" w:eastAsiaTheme="minorEastAsia" w:hAnsi="TH Sarabun New" w:cs="TH Sarabun New"/>
          <w:kern w:val="0"/>
          <w:sz w:val="32"/>
          <w:szCs w:val="32"/>
          <w14:ligatures w14:val="none"/>
        </w:rPr>
        <w:t>programme</w:t>
      </w:r>
      <w:proofErr w:type="spellEnd"/>
      <w:r w:rsidRPr="0013033F">
        <w:rPr>
          <w:rFonts w:ascii="TH Sarabun New" w:eastAsiaTheme="minorEastAsia" w:hAnsi="TH Sarabun New" w:cs="TH Sarabun New"/>
          <w:kern w:val="0"/>
          <w:sz w:val="32"/>
          <w:szCs w:val="32"/>
          <w14:ligatures w14:val="none"/>
        </w:rPr>
        <w:t xml:space="preserve"> at </w:t>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u w:val="dotted"/>
          <w14:ligatures w14:val="none"/>
        </w:rPr>
        <w:tab/>
      </w:r>
      <w:r w:rsidRPr="0013033F">
        <w:rPr>
          <w:rFonts w:ascii="TH Sarabun New" w:eastAsiaTheme="minorEastAsia" w:hAnsi="TH Sarabun New" w:cs="TH Sarabun New"/>
          <w:kern w:val="0"/>
          <w:sz w:val="32"/>
          <w:szCs w:val="32"/>
          <w14:ligatures w14:val="none"/>
        </w:rPr>
        <w:t xml:space="preserve"> University, is as follows:</w:t>
      </w:r>
    </w:p>
    <w:tbl>
      <w:tblPr>
        <w:tblStyle w:val="TableGrid"/>
        <w:tblW w:w="0" w:type="auto"/>
        <w:jc w:val="center"/>
        <w:tblLook w:val="04A0" w:firstRow="1" w:lastRow="0" w:firstColumn="1" w:lastColumn="0" w:noHBand="0" w:noVBand="1"/>
      </w:tblPr>
      <w:tblGrid>
        <w:gridCol w:w="8674"/>
        <w:gridCol w:w="1935"/>
      </w:tblGrid>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Criteria</w:t>
            </w:r>
          </w:p>
        </w:tc>
        <w:tc>
          <w:tcPr>
            <w:tcW w:w="1935"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Score</w:t>
            </w: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1.  Expected Learning Outcomes</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 xml:space="preserve">2.  </w:t>
            </w:r>
            <w:proofErr w:type="spellStart"/>
            <w:r w:rsidRPr="006166A1">
              <w:rPr>
                <w:rFonts w:ascii="TH Sarabun New" w:eastAsiaTheme="minorEastAsia" w:hAnsi="TH Sarabun New" w:cs="TH Sarabun New"/>
                <w:kern w:val="0"/>
                <w:sz w:val="32"/>
                <w:szCs w:val="32"/>
                <w14:ligatures w14:val="none"/>
              </w:rPr>
              <w:t>Programme</w:t>
            </w:r>
            <w:proofErr w:type="spellEnd"/>
            <w:r w:rsidRPr="006166A1">
              <w:rPr>
                <w:rFonts w:ascii="TH Sarabun New" w:eastAsiaTheme="minorEastAsia" w:hAnsi="TH Sarabun New" w:cs="TH Sarabun New"/>
                <w:kern w:val="0"/>
                <w:sz w:val="32"/>
                <w:szCs w:val="32"/>
                <w14:ligatures w14:val="none"/>
              </w:rPr>
              <w:t xml:space="preserve"> Structure and Content</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3.  Teaching and Learning Approach</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4.  Student Assessment Student Assessment</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5.  Academic Staff</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6.  Student Support Service</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7.  Facilities and Infrastructure</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r w:rsidR="00D7322D" w:rsidRPr="006166A1" w:rsidTr="00B205D8">
        <w:trPr>
          <w:jc w:val="center"/>
        </w:trPr>
        <w:tc>
          <w:tcPr>
            <w:tcW w:w="8674"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r w:rsidRPr="006166A1">
              <w:rPr>
                <w:rFonts w:ascii="TH Sarabun New" w:eastAsiaTheme="minorEastAsia" w:hAnsi="TH Sarabun New" w:cs="TH Sarabun New"/>
                <w:kern w:val="0"/>
                <w:sz w:val="32"/>
                <w:szCs w:val="32"/>
                <w14:ligatures w14:val="none"/>
              </w:rPr>
              <w:t>8.  Output and Outcomes</w:t>
            </w:r>
          </w:p>
        </w:tc>
        <w:tc>
          <w:tcPr>
            <w:tcW w:w="1935"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tc>
      </w:tr>
    </w:tbl>
    <w:p w:rsidR="00D7322D" w:rsidRPr="006166A1" w:rsidRDefault="00D7322D" w:rsidP="00D7322D">
      <w:pPr>
        <w:widowControl w:val="0"/>
        <w:kinsoku w:val="0"/>
        <w:overflowPunct w:val="0"/>
        <w:autoSpaceDE w:val="0"/>
        <w:autoSpaceDN w:val="0"/>
        <w:adjustRightInd w:val="0"/>
        <w:spacing w:line="259" w:lineRule="auto"/>
        <w:rPr>
          <w:rFonts w:ascii="TH Sarabun New" w:eastAsiaTheme="minorEastAsia" w:hAnsi="TH Sarabun New" w:cs="TH Sarabun New"/>
          <w:kern w:val="0"/>
          <w:sz w:val="32"/>
          <w:szCs w:val="32"/>
          <w14:ligatures w14:val="none"/>
        </w:rPr>
      </w:pPr>
    </w:p>
    <w:p w:rsidR="00D7322D" w:rsidRPr="00A52A07" w:rsidRDefault="00D7322D" w:rsidP="00D7322D">
      <w:pPr>
        <w:widowControl w:val="0"/>
        <w:kinsoku w:val="0"/>
        <w:overflowPunct w:val="0"/>
        <w:autoSpaceDE w:val="0"/>
        <w:autoSpaceDN w:val="0"/>
        <w:adjustRightInd w:val="0"/>
        <w:jc w:val="thaiDistribute"/>
        <w:rPr>
          <w:rFonts w:ascii="TH Sarabun New" w:eastAsiaTheme="minorEastAsia" w:hAnsi="TH Sarabun New" w:cs="TH Sarabun New"/>
          <w:b/>
          <w:bCs/>
          <w:i/>
          <w:iCs/>
          <w:kern w:val="0"/>
          <w:sz w:val="32"/>
          <w:szCs w:val="32"/>
          <w:u w:val="single"/>
          <w14:ligatures w14:val="none"/>
        </w:rPr>
      </w:pPr>
      <w:r w:rsidRPr="006166A1">
        <w:rPr>
          <w:rFonts w:ascii="TH Sarabun New" w:eastAsiaTheme="minorEastAsia" w:hAnsi="TH Sarabun New" w:cs="TH Sarabun New"/>
          <w:kern w:val="0"/>
          <w:sz w:val="32"/>
          <w:szCs w:val="32"/>
          <w14:ligatures w14:val="none"/>
        </w:rPr>
        <w:t xml:space="preserve">Based on the assessment results, the </w:t>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14:ligatures w14:val="none"/>
        </w:rPr>
        <w:t xml:space="preserve"> </w:t>
      </w:r>
      <w:proofErr w:type="spellStart"/>
      <w:r w:rsidRPr="006166A1">
        <w:rPr>
          <w:rFonts w:ascii="TH Sarabun New" w:eastAsiaTheme="minorEastAsia" w:hAnsi="TH Sarabun New" w:cs="TH Sarabun New"/>
          <w:kern w:val="0"/>
          <w:sz w:val="32"/>
          <w:szCs w:val="32"/>
          <w14:ligatures w14:val="none"/>
        </w:rPr>
        <w:t>programme</w:t>
      </w:r>
      <w:proofErr w:type="spellEnd"/>
      <w:r w:rsidRPr="006166A1">
        <w:rPr>
          <w:rFonts w:ascii="TH Sarabun New" w:eastAsiaTheme="minorEastAsia" w:hAnsi="TH Sarabun New" w:cs="TH Sarabun New"/>
          <w:kern w:val="0"/>
          <w:sz w:val="32"/>
          <w:szCs w:val="32"/>
          <w14:ligatures w14:val="none"/>
        </w:rPr>
        <w:t xml:space="preserve"> at </w:t>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u w:val="dotted"/>
          <w14:ligatures w14:val="none"/>
        </w:rPr>
        <w:tab/>
      </w:r>
      <w:r w:rsidRPr="006166A1">
        <w:rPr>
          <w:rFonts w:ascii="TH Sarabun New" w:eastAsiaTheme="minorEastAsia" w:hAnsi="TH Sarabun New" w:cs="TH Sarabun New"/>
          <w:kern w:val="0"/>
          <w:sz w:val="32"/>
          <w:szCs w:val="32"/>
          <w14:ligatures w14:val="none"/>
        </w:rPr>
        <w:t xml:space="preserve"> University </w:t>
      </w:r>
      <w:r>
        <w:rPr>
          <w:rFonts w:ascii="TH Sarabun New" w:eastAsiaTheme="minorEastAsia" w:hAnsi="TH Sarabun New" w:cs="TH Sarabun New"/>
          <w:b/>
          <w:bCs/>
          <w:kern w:val="0"/>
          <w:sz w:val="32"/>
          <w:szCs w:val="32"/>
          <w:u w:val="single"/>
          <w14:ligatures w14:val="none"/>
        </w:rPr>
        <w:t>fulfilled/</w:t>
      </w:r>
      <w:r w:rsidRPr="00A52A07">
        <w:rPr>
          <w:rFonts w:ascii="TH Sarabun New" w:eastAsiaTheme="minorEastAsia" w:hAnsi="TH Sarabun New" w:cs="TH Sarabun New"/>
          <w:b/>
          <w:bCs/>
          <w:kern w:val="0"/>
          <w:sz w:val="32"/>
          <w:szCs w:val="32"/>
          <w:u w:val="single"/>
          <w14:ligatures w14:val="none"/>
        </w:rPr>
        <w:t>does not fulfill</w:t>
      </w:r>
      <w:r w:rsidRPr="006166A1">
        <w:rPr>
          <w:rFonts w:ascii="TH Sarabun New" w:eastAsiaTheme="minorEastAsia" w:hAnsi="TH Sarabun New" w:cs="TH Sarabun New"/>
          <w:kern w:val="0"/>
          <w:sz w:val="32"/>
          <w:szCs w:val="32"/>
          <w14:ligatures w14:val="none"/>
        </w:rPr>
        <w:t xml:space="preserve"> the AUN-QA requirements to be awarded the AUN-QA criteria. The overall quality assurance implemented for the </w:t>
      </w:r>
      <w:proofErr w:type="spellStart"/>
      <w:r w:rsidRPr="006166A1">
        <w:rPr>
          <w:rFonts w:ascii="TH Sarabun New" w:eastAsiaTheme="minorEastAsia" w:hAnsi="TH Sarabun New" w:cs="TH Sarabun New"/>
          <w:kern w:val="0"/>
          <w:sz w:val="32"/>
          <w:szCs w:val="32"/>
          <w14:ligatures w14:val="none"/>
        </w:rPr>
        <w:t>programme</w:t>
      </w:r>
      <w:proofErr w:type="spellEnd"/>
      <w:r w:rsidRPr="006166A1">
        <w:rPr>
          <w:rFonts w:ascii="TH Sarabun New" w:eastAsiaTheme="minorEastAsia" w:hAnsi="TH Sarabun New" w:cs="TH Sarabun New"/>
          <w:kern w:val="0"/>
          <w:sz w:val="32"/>
          <w:szCs w:val="32"/>
          <w14:ligatures w14:val="none"/>
        </w:rPr>
        <w:t xml:space="preserve"> is </w:t>
      </w:r>
      <w:r w:rsidRPr="00A52A07">
        <w:rPr>
          <w:rFonts w:ascii="TH Sarabun New" w:eastAsiaTheme="minorEastAsia" w:hAnsi="TH Sarabun New" w:cs="TH Sarabun New"/>
          <w:b/>
          <w:bCs/>
          <w:i/>
          <w:iCs/>
          <w:kern w:val="0"/>
          <w:sz w:val="32"/>
          <w:szCs w:val="32"/>
          <w:u w:val="single"/>
          <w14:ligatures w14:val="none"/>
        </w:rPr>
        <w:t>Absolutely Inadequate/ Inadequate and Improvement is Necessary/ Inadequate but Minor Improvement Will Make It Adequate/ Adequate as Expected/ Better Than Adequate/ Example of Best Practices/ Excellent (Example of World-class or Leading Practices).</w:t>
      </w:r>
    </w:p>
    <w:tbl>
      <w:tblPr>
        <w:tblStyle w:val="TableGrid"/>
        <w:tblW w:w="14176" w:type="dxa"/>
        <w:tblInd w:w="-431" w:type="dxa"/>
        <w:tblLook w:val="04A0" w:firstRow="1" w:lastRow="0" w:firstColumn="1" w:lastColumn="0" w:noHBand="0" w:noVBand="1"/>
      </w:tblPr>
      <w:tblGrid>
        <w:gridCol w:w="5807"/>
        <w:gridCol w:w="3402"/>
        <w:gridCol w:w="3686"/>
        <w:gridCol w:w="1281"/>
      </w:tblGrid>
      <w:tr w:rsidR="00D7322D" w:rsidRPr="006166A1" w:rsidTr="00D7322D">
        <w:trPr>
          <w:trHeight w:val="432"/>
          <w:tblHeader/>
        </w:trPr>
        <w:tc>
          <w:tcPr>
            <w:tcW w:w="5807"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lastRenderedPageBreak/>
              <w:t>Criteria</w:t>
            </w:r>
          </w:p>
        </w:tc>
        <w:tc>
          <w:tcPr>
            <w:tcW w:w="3402"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t>Strengths</w:t>
            </w:r>
          </w:p>
        </w:tc>
        <w:tc>
          <w:tcPr>
            <w:tcW w:w="3686"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t>Area for Improvement</w:t>
            </w:r>
          </w:p>
        </w:tc>
        <w:tc>
          <w:tcPr>
            <w:tcW w:w="1281" w:type="dxa"/>
          </w:tcPr>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t>Score</w:t>
            </w:r>
          </w:p>
          <w:p w:rsidR="00D7322D" w:rsidRPr="006166A1" w:rsidRDefault="00D7322D" w:rsidP="00B205D8">
            <w:pPr>
              <w:widowControl w:val="0"/>
              <w:kinsoku w:val="0"/>
              <w:overflowPunct w:val="0"/>
              <w:autoSpaceDE w:val="0"/>
              <w:autoSpaceDN w:val="0"/>
              <w:adjustRightInd w:val="0"/>
              <w:spacing w:line="259" w:lineRule="auto"/>
              <w:jc w:val="center"/>
              <w:rPr>
                <w:rFonts w:ascii="TH Sarabun New" w:eastAsiaTheme="minorEastAsia" w:hAnsi="TH Sarabun New" w:cs="TH Sarabun New"/>
                <w:b/>
                <w:bCs/>
                <w:kern w:val="0"/>
                <w:sz w:val="32"/>
                <w:szCs w:val="32"/>
                <w14:ligatures w14:val="none"/>
              </w:rPr>
            </w:pPr>
            <w:r w:rsidRPr="006166A1">
              <w:rPr>
                <w:rFonts w:ascii="TH Sarabun New" w:eastAsiaTheme="minorEastAsia" w:hAnsi="TH Sarabun New" w:cs="TH Sarabun New"/>
                <w:b/>
                <w:bCs/>
                <w:kern w:val="0"/>
                <w:sz w:val="32"/>
                <w:szCs w:val="32"/>
                <w14:ligatures w14:val="none"/>
              </w:rPr>
              <w:t>(1 – 7)</w:t>
            </w: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b/>
                <w:bCs/>
                <w:kern w:val="0"/>
                <w:sz w:val="32"/>
                <w:szCs w:val="32"/>
                <w14:ligatures w14:val="none"/>
              </w:rPr>
            </w:pPr>
            <w:r w:rsidRPr="00A52A07">
              <w:rPr>
                <w:rFonts w:ascii="TH SarabunPSK" w:eastAsiaTheme="minorEastAsia" w:hAnsi="TH SarabunPSK" w:cs="TH SarabunPSK"/>
                <w:b/>
                <w:bCs/>
                <w:kern w:val="0"/>
                <w:sz w:val="32"/>
                <w:szCs w:val="32"/>
                <w14:ligatures w14:val="none"/>
              </w:rPr>
              <w:t>1. Expected Learning Outcomes</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cs/>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1.1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to show that the expected learning outcomes are appropriately formulated in accordance with an established learning taxonomy, are aligned to the vision and mission of the university, and are known to all stakeholders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1.2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to show that the expected learning outcomes for all courses are appropriately formulated and are aligned to the expected learning outcomes of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1.3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to show that the expected learning outcomes consist of both generic outcomes </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 xml:space="preserve">related to written and oral communication, </w:t>
            </w:r>
            <w:proofErr w:type="spellStart"/>
            <w:r w:rsidRPr="00A52A07">
              <w:rPr>
                <w:rFonts w:ascii="TH SarabunPSK" w:eastAsiaTheme="minorEastAsia" w:hAnsi="TH SarabunPSK" w:cs="TH SarabunPSK"/>
                <w:kern w:val="0"/>
                <w:sz w:val="28"/>
                <w14:ligatures w14:val="none"/>
              </w:rPr>
              <w:t>problemsolving</w:t>
            </w:r>
            <w:proofErr w:type="spellEnd"/>
            <w:r w:rsidRPr="00A52A07">
              <w:rPr>
                <w:rFonts w:ascii="TH SarabunPSK" w:eastAsiaTheme="minorEastAsia" w:hAnsi="TH SarabunPSK" w:cs="TH SarabunPSK"/>
                <w:kern w:val="0"/>
                <w:sz w:val="28"/>
                <w14:ligatures w14:val="none"/>
              </w:rPr>
              <w:t xml:space="preserve">, information technology, teambuilding skills, </w:t>
            </w:r>
            <w:proofErr w:type="spellStart"/>
            <w:r w:rsidRPr="00A52A07">
              <w:rPr>
                <w:rFonts w:ascii="TH SarabunPSK" w:eastAsiaTheme="minorEastAsia" w:hAnsi="TH SarabunPSK" w:cs="TH SarabunPSK"/>
                <w:kern w:val="0"/>
                <w:sz w:val="28"/>
                <w14:ligatures w14:val="none"/>
              </w:rPr>
              <w:t>etc</w:t>
            </w:r>
            <w:proofErr w:type="spellEnd"/>
            <w:r w:rsidRPr="00A52A07">
              <w:rPr>
                <w:rFonts w:ascii="TH SarabunPSK" w:eastAsiaTheme="minorEastAsia" w:hAnsi="TH SarabunPSK" w:cs="TH SarabunPSK"/>
                <w:kern w:val="0"/>
                <w:sz w:val="28"/>
                <w:cs/>
                <w14:ligatures w14:val="none"/>
              </w:rPr>
              <w:t xml:space="preserve">) </w:t>
            </w:r>
            <w:r w:rsidRPr="00A52A07">
              <w:rPr>
                <w:rFonts w:ascii="TH SarabunPSK" w:eastAsiaTheme="minorEastAsia" w:hAnsi="TH SarabunPSK" w:cs="TH SarabunPSK"/>
                <w:kern w:val="0"/>
                <w:sz w:val="28"/>
                <w14:ligatures w14:val="none"/>
              </w:rPr>
              <w:t xml:space="preserve">and subject specific outcomes </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related to knowledge and skills of the study discipline</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1.4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to show that the requirements of the stakeholders, especially the external stakeholders, are gathered, and that these are reflected in the expected learning outcomes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1.5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the expected learning outcomes are achieved by the students by the time they graduate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A52A07">
              <w:rPr>
                <w:rFonts w:ascii="TH Sarabun New" w:eastAsiaTheme="minorEastAsia" w:hAnsi="TH Sarabun New" w:cs="TH Sarabun New"/>
                <w:b/>
                <w:bCs/>
                <w:kern w:val="0"/>
                <w:sz w:val="32"/>
                <w:szCs w:val="32"/>
                <w14:ligatures w14:val="none"/>
              </w:rPr>
              <w:t xml:space="preserve">2. </w:t>
            </w:r>
            <w:proofErr w:type="spellStart"/>
            <w:r w:rsidRPr="00A52A07">
              <w:rPr>
                <w:rFonts w:ascii="TH Sarabun New" w:eastAsiaTheme="minorEastAsia" w:hAnsi="TH Sarabun New" w:cs="TH Sarabun New"/>
                <w:b/>
                <w:bCs/>
                <w:kern w:val="0"/>
                <w:sz w:val="32"/>
                <w:szCs w:val="32"/>
                <w14:ligatures w14:val="none"/>
              </w:rPr>
              <w:t>Programme</w:t>
            </w:r>
            <w:proofErr w:type="spellEnd"/>
            <w:r w:rsidRPr="00A52A07">
              <w:rPr>
                <w:rFonts w:ascii="TH Sarabun New" w:eastAsiaTheme="minorEastAsia" w:hAnsi="TH Sarabun New" w:cs="TH Sarabun New"/>
                <w:b/>
                <w:bCs/>
                <w:kern w:val="0"/>
                <w:sz w:val="32"/>
                <w:szCs w:val="32"/>
                <w14:ligatures w14:val="none"/>
              </w:rPr>
              <w:t xml:space="preserve"> Structure and Content</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lastRenderedPageBreak/>
              <w:t xml:space="preserve">2.1 The specifications of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and all its courses are shown to be comprehensive, up</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to</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date, and made available and communicated to all stakeholders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2.2 The design of the curriculum is shown to be constructively aligned with achieving the expected learning outcomes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2.3 The design of the curriculum is shown to include feedback from stakeholders, especially external stakeholders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2.4 The contribution made by each course in achieving the expected learning outcomes is shown to be clear</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2.5 The curriculum to show that all its courses are logically structured, properly sequenced </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 xml:space="preserve">progression from basic to intermediate to </w:t>
            </w:r>
            <w:proofErr w:type="spellStart"/>
            <w:r w:rsidRPr="00A52A07">
              <w:rPr>
                <w:rFonts w:ascii="TH SarabunPSK" w:eastAsiaTheme="minorEastAsia" w:hAnsi="TH SarabunPSK" w:cs="TH SarabunPSK"/>
                <w:kern w:val="0"/>
                <w:sz w:val="28"/>
                <w14:ligatures w14:val="none"/>
              </w:rPr>
              <w:t>specialised</w:t>
            </w:r>
            <w:proofErr w:type="spellEnd"/>
            <w:r w:rsidRPr="00A52A07">
              <w:rPr>
                <w:rFonts w:ascii="TH SarabunPSK" w:eastAsiaTheme="minorEastAsia" w:hAnsi="TH SarabunPSK" w:cs="TH SarabunPSK"/>
                <w:kern w:val="0"/>
                <w:sz w:val="28"/>
                <w14:ligatures w14:val="none"/>
              </w:rPr>
              <w:t xml:space="preserve"> courses</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 and are integrated</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2.6 The curriculum to have option</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s</w:t>
            </w:r>
            <w:r w:rsidRPr="00A52A07">
              <w:rPr>
                <w:rFonts w:ascii="TH SarabunPSK" w:eastAsiaTheme="minorEastAsia" w:hAnsi="TH SarabunPSK" w:cs="TH SarabunPSK"/>
                <w:kern w:val="0"/>
                <w:sz w:val="28"/>
                <w:cs/>
                <w14:ligatures w14:val="none"/>
              </w:rPr>
              <w:t xml:space="preserve">) </w:t>
            </w:r>
            <w:r w:rsidRPr="00A52A07">
              <w:rPr>
                <w:rFonts w:ascii="TH SarabunPSK" w:eastAsiaTheme="minorEastAsia" w:hAnsi="TH SarabunPSK" w:cs="TH SarabunPSK"/>
                <w:kern w:val="0"/>
                <w:sz w:val="28"/>
                <w14:ligatures w14:val="none"/>
              </w:rPr>
              <w:t>for students to pursue major and</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 xml:space="preserve">or minor </w:t>
            </w:r>
            <w:proofErr w:type="spellStart"/>
            <w:r w:rsidRPr="00A52A07">
              <w:rPr>
                <w:rFonts w:ascii="TH SarabunPSK" w:eastAsiaTheme="minorEastAsia" w:hAnsi="TH SarabunPSK" w:cs="TH SarabunPSK"/>
                <w:kern w:val="0"/>
                <w:sz w:val="28"/>
                <w14:ligatures w14:val="none"/>
              </w:rPr>
              <w:t>specialisations</w:t>
            </w:r>
            <w:proofErr w:type="spellEnd"/>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2.7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to show that its curriculum is reviewed periodically following an established procedure and that it remains up</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to</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date and relevant to industry</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A52A07">
              <w:rPr>
                <w:rFonts w:ascii="TH Sarabun New" w:eastAsiaTheme="minorEastAsia" w:hAnsi="TH Sarabun New" w:cs="TH Sarabun New"/>
                <w:b/>
                <w:bCs/>
                <w:kern w:val="0"/>
                <w:sz w:val="32"/>
                <w:szCs w:val="32"/>
                <w14:ligatures w14:val="none"/>
              </w:rPr>
              <w:t>3. Teaching and Learning Approach</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3.1 The educational philosophy is shown to be articulated and communicated to all stakeholders</w:t>
            </w:r>
            <w:r w:rsidRPr="00042307">
              <w:rPr>
                <w:rFonts w:ascii="TH Sarabun New" w:eastAsiaTheme="minorEastAsia" w:hAnsi="TH Sarabun New" w:cs="TH Sarabun New"/>
                <w:kern w:val="0"/>
                <w:sz w:val="28"/>
                <w:cs/>
                <w14:ligatures w14:val="none"/>
              </w:rPr>
              <w:t xml:space="preserve">. </w:t>
            </w:r>
            <w:r w:rsidRPr="00042307">
              <w:rPr>
                <w:rFonts w:ascii="TH Sarabun New" w:eastAsiaTheme="minorEastAsia" w:hAnsi="TH Sarabun New" w:cs="TH Sarabun New"/>
                <w:kern w:val="0"/>
                <w:sz w:val="28"/>
                <w14:ligatures w14:val="none"/>
              </w:rPr>
              <w:t>It is also shown to be reflected in the teaching and learning activities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lastRenderedPageBreak/>
              <w:t>3.2 The teaching and learning activities are shown to allow students to participate responsibly in the learning process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3.3 The teaching and learning activities are shown to involve active learning by the students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3.4 The teaching and learning activities are shown to promote learning, learning how to learn, and instilling in students a commitment for life</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 xml:space="preserve">long learning </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e</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g</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 commitment to critical inquiry, information</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processing skills, and a willingness to experiment with new ideas and practices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3.5 The teaching and learning activities are shown to inculcate in students, new ideas, creative thought, innovation, and an entrepreneurial mindset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3.6 The teaching and learning processes are shown to be continuously improved to ensure their relevance to the needs of industry and are aligned to the expected learning outcomes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b/>
                <w:bCs/>
                <w:kern w:val="0"/>
                <w:sz w:val="28"/>
                <w14:ligatures w14:val="none"/>
              </w:rPr>
            </w:pPr>
            <w:r w:rsidRPr="00A52A07">
              <w:rPr>
                <w:rFonts w:ascii="TH SarabunPSK" w:eastAsiaTheme="minorEastAsia" w:hAnsi="TH SarabunPSK" w:cs="TH SarabunPSK"/>
                <w:b/>
                <w:bCs/>
                <w:kern w:val="0"/>
                <w:sz w:val="28"/>
                <w14:ligatures w14:val="none"/>
              </w:rPr>
              <w:t xml:space="preserve">4. Student Assessment </w:t>
            </w:r>
          </w:p>
        </w:tc>
        <w:tc>
          <w:tcPr>
            <w:tcW w:w="3402"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4.1 A variety of assessment methods are shown  to be used and are shown to be constructively aligned to achieving the expected learning outcomes and the teaching and learning objectives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4.2 The assessment and assessment</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appeal policies are shown to be explicit, communicated to students, and applied consistently</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lastRenderedPageBreak/>
              <w:t>4.3 The assessment standards and procedures for student progression and degree completion, are shown to be explicit, communicated to students, and applied consistently</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4.4 The assessments methods are shown to include rubrics, marking schemes, timelines, and regulations, and these are shown to ensure validity, reliability, and fairness in assessment</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4.5 The assessment methods are shown to measure the achievement of the expected learning outcomes of the </w:t>
            </w:r>
            <w:proofErr w:type="spellStart"/>
            <w:r w:rsidRPr="00A52A07">
              <w:rPr>
                <w:rFonts w:ascii="TH SarabunPSK" w:eastAsiaTheme="minorEastAsia" w:hAnsi="TH SarabunPSK" w:cs="TH SarabunPSK"/>
                <w:kern w:val="0"/>
                <w:sz w:val="28"/>
                <w14:ligatures w14:val="none"/>
              </w:rPr>
              <w:t>programme</w:t>
            </w:r>
            <w:proofErr w:type="spellEnd"/>
            <w:r w:rsidRPr="00A52A07">
              <w:rPr>
                <w:rFonts w:ascii="TH SarabunPSK" w:eastAsiaTheme="minorEastAsia" w:hAnsi="TH SarabunPSK" w:cs="TH SarabunPSK"/>
                <w:kern w:val="0"/>
                <w:sz w:val="28"/>
                <w14:ligatures w14:val="none"/>
              </w:rPr>
              <w:t xml:space="preserve"> and its courses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4.6 Feedback of student assessment is shown to be provided in a timely manner</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4.7 The student assessment and its processes are shown to be continuously reviewed and improved to ensure their relevance to the needs of industry and alignment to the expected learning outcomes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b/>
                <w:bCs/>
                <w:kern w:val="0"/>
                <w:sz w:val="28"/>
                <w14:ligatures w14:val="none"/>
              </w:rPr>
            </w:pPr>
            <w:r w:rsidRPr="00A52A07">
              <w:rPr>
                <w:rFonts w:ascii="TH SarabunPSK" w:eastAsiaTheme="minorEastAsia" w:hAnsi="TH SarabunPSK" w:cs="TH SarabunPSK"/>
                <w:b/>
                <w:bCs/>
                <w:kern w:val="0"/>
                <w:sz w:val="32"/>
                <w:szCs w:val="32"/>
                <w14:ligatures w14:val="none"/>
              </w:rPr>
              <w:t>5. Academic Staff</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5.1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academic staff planning </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including succession, promotion, re</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deployment, termination, and retirement plans</w:t>
            </w:r>
            <w:r w:rsidRPr="00042307">
              <w:rPr>
                <w:rFonts w:ascii="TH Sarabun New" w:eastAsiaTheme="minorEastAsia" w:hAnsi="TH Sarabun New" w:cs="TH Sarabun New"/>
                <w:kern w:val="0"/>
                <w:sz w:val="28"/>
                <w:cs/>
                <w14:ligatures w14:val="none"/>
              </w:rPr>
              <w:t xml:space="preserve">) </w:t>
            </w:r>
            <w:r w:rsidRPr="00042307">
              <w:rPr>
                <w:rFonts w:ascii="TH Sarabun New" w:eastAsiaTheme="minorEastAsia" w:hAnsi="TH Sarabun New" w:cs="TH Sarabun New"/>
                <w:kern w:val="0"/>
                <w:sz w:val="28"/>
                <w14:ligatures w14:val="none"/>
              </w:rPr>
              <w:t>is carried out to ensure that the quality and quantity of the academic staff fulfil the needs for education, research, and service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lastRenderedPageBreak/>
              <w:t xml:space="preserve">5.2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staff workload is measured and monitored to improve the quality of education, research, and service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5.3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the competences of the academic staff are determined, evaluated, and communicated</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5.4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the duties allocated to the academic staff are appropriate to qualifications, experience, and aptitude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5.5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promotion of the academic staff is based on a merit system which accounts for teaching, research, and service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5.6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the rights and privileges, benefits, roles and relationships, and accountability of the academic staff, taking into account professional ethics and their academic freedom, are well defined and understood</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5.7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the training and developmental needs of the academic staff are systematically identified, and that appropriate training and development activities are implemented to fulfil the identified needs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5.8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to show that performance management including reward and recognition is implemented to assess </w:t>
            </w:r>
            <w:r w:rsidRPr="00042307">
              <w:rPr>
                <w:rFonts w:ascii="TH Sarabun New" w:eastAsiaTheme="minorEastAsia" w:hAnsi="TH Sarabun New" w:cs="TH Sarabun New"/>
                <w:kern w:val="0"/>
                <w:sz w:val="28"/>
                <w14:ligatures w14:val="none"/>
              </w:rPr>
              <w:lastRenderedPageBreak/>
              <w:t>academic staff teaching and research quality</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A52A07">
              <w:rPr>
                <w:rFonts w:ascii="TH Sarabun New" w:eastAsiaTheme="minorEastAsia" w:hAnsi="TH Sarabun New" w:cs="TH Sarabun New"/>
                <w:b/>
                <w:bCs/>
                <w:kern w:val="0"/>
                <w:sz w:val="32"/>
                <w:szCs w:val="32"/>
                <w14:ligatures w14:val="none"/>
              </w:rPr>
              <w:lastRenderedPageBreak/>
              <w:t>6. Student Support Service</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6.1 The student intake policy, admission criteria, and admission procedures to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are shown to be clearly defined, communicated, published, and up</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to</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date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6.2 Both short</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term and long</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term planning of academic and non</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academic support services are shown to be carried out to ensure sufficiency and quality of support services for teaching, research, and community service</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6.3 An adequate system is shown to exist for student progress, academic performance, and workload monitoring</w:t>
            </w:r>
            <w:r w:rsidRPr="00042307">
              <w:rPr>
                <w:rFonts w:ascii="TH Sarabun New" w:eastAsiaTheme="minorEastAsia" w:hAnsi="TH Sarabun New" w:cs="TH Sarabun New"/>
                <w:kern w:val="0"/>
                <w:sz w:val="28"/>
                <w:cs/>
                <w14:ligatures w14:val="none"/>
              </w:rPr>
              <w:t xml:space="preserve">. </w:t>
            </w:r>
            <w:r w:rsidRPr="00042307">
              <w:rPr>
                <w:rFonts w:ascii="TH Sarabun New" w:eastAsiaTheme="minorEastAsia" w:hAnsi="TH Sarabun New" w:cs="TH Sarabun New"/>
                <w:kern w:val="0"/>
                <w:sz w:val="28"/>
                <w14:ligatures w14:val="none"/>
              </w:rPr>
              <w:t>Student progress, academic performance, and workload are shown to be systematically recorded and monitored</w:t>
            </w:r>
            <w:r w:rsidRPr="00042307">
              <w:rPr>
                <w:rFonts w:ascii="TH Sarabun New" w:eastAsiaTheme="minorEastAsia" w:hAnsi="TH Sarabun New" w:cs="TH Sarabun New"/>
                <w:kern w:val="0"/>
                <w:sz w:val="28"/>
                <w:cs/>
                <w14:ligatures w14:val="none"/>
              </w:rPr>
              <w:t xml:space="preserve">. </w:t>
            </w:r>
            <w:r w:rsidRPr="00042307">
              <w:rPr>
                <w:rFonts w:ascii="TH Sarabun New" w:eastAsiaTheme="minorEastAsia" w:hAnsi="TH Sarabun New" w:cs="TH Sarabun New"/>
                <w:kern w:val="0"/>
                <w:sz w:val="28"/>
                <w14:ligatures w14:val="none"/>
              </w:rPr>
              <w:t>Feedback to students and corrective actions are made where necessary</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6.4 Co</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curricular activities, student competition, and other student support services are shown to be available to improve learning experience and employability</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6.5 The competences of the support staff rendering student services are shown to be identified for recruitment and deployment</w:t>
            </w:r>
            <w:r w:rsidRPr="00042307">
              <w:rPr>
                <w:rFonts w:ascii="TH Sarabun New" w:eastAsiaTheme="minorEastAsia" w:hAnsi="TH Sarabun New" w:cs="TH Sarabun New"/>
                <w:kern w:val="0"/>
                <w:sz w:val="28"/>
                <w:cs/>
                <w14:ligatures w14:val="none"/>
              </w:rPr>
              <w:t xml:space="preserve">. </w:t>
            </w:r>
            <w:r w:rsidRPr="00042307">
              <w:rPr>
                <w:rFonts w:ascii="TH Sarabun New" w:eastAsiaTheme="minorEastAsia" w:hAnsi="TH Sarabun New" w:cs="TH Sarabun New"/>
                <w:kern w:val="0"/>
                <w:sz w:val="28"/>
                <w14:ligatures w14:val="none"/>
              </w:rPr>
              <w:t>These competences are shown to be evaluated to ensure their continued relevance to stakeholders needs</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 xml:space="preserve"> Roles </w:t>
            </w:r>
            <w:r w:rsidRPr="00042307">
              <w:rPr>
                <w:rFonts w:ascii="TH Sarabun New" w:eastAsiaTheme="minorEastAsia" w:hAnsi="TH Sarabun New" w:cs="TH Sarabun New"/>
                <w:kern w:val="0"/>
                <w:sz w:val="28"/>
                <w14:ligatures w14:val="none"/>
              </w:rPr>
              <w:lastRenderedPageBreak/>
              <w:t>and relationships are shown to be well</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defined to ensure smooth delivery of the services</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lastRenderedPageBreak/>
              <w:t>6.6 Student support services are shown to be subjected to evaluation, benchmarking, and enhancement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A52A07">
              <w:rPr>
                <w:rFonts w:ascii="TH Sarabun New" w:eastAsiaTheme="minorEastAsia" w:hAnsi="TH Sarabun New" w:cs="TH Sarabun New"/>
                <w:b/>
                <w:bCs/>
                <w:kern w:val="0"/>
                <w:sz w:val="32"/>
                <w:szCs w:val="32"/>
                <w14:ligatures w14:val="none"/>
              </w:rPr>
              <w:t>7. Facilities and Infrastructure</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7.1 The physical resources to deliver the curriculum, including equipment, material, and information technology, are shown to be sufficient</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7.2 The laboratories and equipment are shown to be up</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to</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date, readily available, and effectively deployed</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7.3 A digital library is shown to be set</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up, in keeping with progress in information and communication technology</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7.4 The information technology systems are shown to be set up to meet the needs of staff and students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7.5 The university is shown to provide a highly accessible computer and network infrastructure that enables the campus community to fully exploit information technology for teaching, research, service, and administration</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7.6 The environmental, health, and safety standards and access for people with special needs are shown to be defined and implemented</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lastRenderedPageBreak/>
              <w:t>7.7 The university is shown to provide a physical, social, and psychological environment that is conducive for education, research, and personal wellbeing</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7.8 The competences of the support staff rendering services related to facilities are shown to be identified and evaluated to ensure that their skills remain relevant to stakeholder needs</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A52A07" w:rsidRDefault="00D7322D" w:rsidP="00B205D8">
            <w:pPr>
              <w:widowControl w:val="0"/>
              <w:kinsoku w:val="0"/>
              <w:overflowPunct w:val="0"/>
              <w:autoSpaceDE w:val="0"/>
              <w:autoSpaceDN w:val="0"/>
              <w:adjustRightInd w:val="0"/>
              <w:spacing w:line="259" w:lineRule="auto"/>
              <w:rPr>
                <w:rFonts w:ascii="TH SarabunPSK" w:eastAsiaTheme="minorEastAsia" w:hAnsi="TH SarabunPSK" w:cs="TH SarabunPSK"/>
                <w:kern w:val="0"/>
                <w:sz w:val="28"/>
                <w14:ligatures w14:val="none"/>
              </w:rPr>
            </w:pPr>
            <w:r w:rsidRPr="00A52A07">
              <w:rPr>
                <w:rFonts w:ascii="TH SarabunPSK" w:eastAsiaTheme="minorEastAsia" w:hAnsi="TH SarabunPSK" w:cs="TH SarabunPSK"/>
                <w:kern w:val="0"/>
                <w:sz w:val="28"/>
                <w14:ligatures w14:val="none"/>
              </w:rPr>
              <w:t xml:space="preserve">7.9 The quality of the facilities </w:t>
            </w:r>
            <w:r w:rsidRPr="00A52A07">
              <w:rPr>
                <w:rFonts w:ascii="TH SarabunPSK" w:eastAsiaTheme="minorEastAsia" w:hAnsi="TH SarabunPSK" w:cs="TH SarabunPSK"/>
                <w:kern w:val="0"/>
                <w:sz w:val="28"/>
                <w:cs/>
                <w14:ligatures w14:val="none"/>
              </w:rPr>
              <w:t>(</w:t>
            </w:r>
            <w:r w:rsidRPr="00A52A07">
              <w:rPr>
                <w:rFonts w:ascii="TH SarabunPSK" w:eastAsiaTheme="minorEastAsia" w:hAnsi="TH SarabunPSK" w:cs="TH SarabunPSK"/>
                <w:kern w:val="0"/>
                <w:sz w:val="28"/>
                <w14:ligatures w14:val="none"/>
              </w:rPr>
              <w:t>library, laboratory, IT, and student services</w:t>
            </w:r>
            <w:r w:rsidRPr="00A52A07">
              <w:rPr>
                <w:rFonts w:ascii="TH SarabunPSK" w:eastAsiaTheme="minorEastAsia" w:hAnsi="TH SarabunPSK" w:cs="TH SarabunPSK"/>
                <w:kern w:val="0"/>
                <w:sz w:val="28"/>
                <w:cs/>
                <w14:ligatures w14:val="none"/>
              </w:rPr>
              <w:t xml:space="preserve">) </w:t>
            </w:r>
            <w:r w:rsidRPr="00A52A07">
              <w:rPr>
                <w:rFonts w:ascii="TH SarabunPSK" w:eastAsiaTheme="minorEastAsia" w:hAnsi="TH SarabunPSK" w:cs="TH SarabunPSK"/>
                <w:kern w:val="0"/>
                <w:sz w:val="28"/>
                <w14:ligatures w14:val="none"/>
              </w:rPr>
              <w:t>are shown to be subjected to evaluation and enhancement</w:t>
            </w:r>
            <w:r w:rsidRPr="00A52A07">
              <w:rPr>
                <w:rFonts w:ascii="TH SarabunPSK" w:eastAsiaTheme="minorEastAsia" w:hAnsi="TH SarabunPSK" w:cs="TH SarabunPSK"/>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shd w:val="clear" w:color="auto" w:fill="E7E6E6" w:themeFill="background2"/>
          </w:tcPr>
          <w:p w:rsidR="00D7322D" w:rsidRPr="00A52A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r w:rsidRPr="00A52A07">
              <w:rPr>
                <w:rFonts w:ascii="TH Sarabun New" w:eastAsiaTheme="minorEastAsia" w:hAnsi="TH Sarabun New" w:cs="TH Sarabun New"/>
                <w:b/>
                <w:bCs/>
                <w:kern w:val="0"/>
                <w:sz w:val="32"/>
                <w:szCs w:val="32"/>
                <w14:ligatures w14:val="none"/>
              </w:rPr>
              <w:t>8. Output and Outcomes</w:t>
            </w:r>
          </w:p>
        </w:tc>
        <w:tc>
          <w:tcPr>
            <w:tcW w:w="3402"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shd w:val="clear" w:color="auto" w:fill="E7E6E6" w:themeFill="background2"/>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8.1 The pass rate, dropout rate, and average time to graduate are shown to be established, monitored, and benchmarked for improvement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8.2 Employability as well as self</w:t>
            </w:r>
            <w:r w:rsidRPr="00042307">
              <w:rPr>
                <w:rFonts w:ascii="TH Sarabun New" w:eastAsiaTheme="minorEastAsia" w:hAnsi="TH Sarabun New" w:cs="TH Sarabun New"/>
                <w:kern w:val="0"/>
                <w:sz w:val="28"/>
                <w:cs/>
                <w14:ligatures w14:val="none"/>
              </w:rPr>
              <w:t>-</w:t>
            </w:r>
            <w:r w:rsidRPr="00042307">
              <w:rPr>
                <w:rFonts w:ascii="TH Sarabun New" w:eastAsiaTheme="minorEastAsia" w:hAnsi="TH Sarabun New" w:cs="TH Sarabun New"/>
                <w:kern w:val="0"/>
                <w:sz w:val="28"/>
                <w14:ligatures w14:val="none"/>
              </w:rPr>
              <w:t>employment, entrepreneurship, and advancement to further studies, are shown to be established, monitored, and benchmarked for improvement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8.3 Research and creative work output and activities carried out by the academic staff and students, are shown to be established, monitored, and benchmarked for improvement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t xml:space="preserve">8.4 Data are provided to show directly the achievement of the </w:t>
            </w:r>
            <w:proofErr w:type="spellStart"/>
            <w:r w:rsidRPr="00042307">
              <w:rPr>
                <w:rFonts w:ascii="TH Sarabun New" w:eastAsiaTheme="minorEastAsia" w:hAnsi="TH Sarabun New" w:cs="TH Sarabun New"/>
                <w:kern w:val="0"/>
                <w:sz w:val="28"/>
                <w14:ligatures w14:val="none"/>
              </w:rPr>
              <w:t>programme</w:t>
            </w:r>
            <w:proofErr w:type="spellEnd"/>
            <w:r w:rsidRPr="00042307">
              <w:rPr>
                <w:rFonts w:ascii="TH Sarabun New" w:eastAsiaTheme="minorEastAsia" w:hAnsi="TH Sarabun New" w:cs="TH Sarabun New"/>
                <w:kern w:val="0"/>
                <w:sz w:val="28"/>
                <w14:ligatures w14:val="none"/>
              </w:rPr>
              <w:t xml:space="preserve"> outcomes, which are established and monitored</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r w:rsidR="00D7322D" w:rsidRPr="006166A1" w:rsidTr="00D7322D">
        <w:trPr>
          <w:trHeight w:val="555"/>
        </w:trPr>
        <w:tc>
          <w:tcPr>
            <w:tcW w:w="5807" w:type="dxa"/>
          </w:tcPr>
          <w:p w:rsidR="00D7322D" w:rsidRPr="00042307"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kern w:val="0"/>
                <w:sz w:val="28"/>
                <w14:ligatures w14:val="none"/>
              </w:rPr>
            </w:pPr>
            <w:r w:rsidRPr="00042307">
              <w:rPr>
                <w:rFonts w:ascii="TH Sarabun New" w:eastAsiaTheme="minorEastAsia" w:hAnsi="TH Sarabun New" w:cs="TH Sarabun New"/>
                <w:kern w:val="0"/>
                <w:sz w:val="28"/>
                <w14:ligatures w14:val="none"/>
              </w:rPr>
              <w:lastRenderedPageBreak/>
              <w:t>8.5 Satisfaction level of the various stakeholders are shown to be established, monitored, and benchmarked for improvement</w:t>
            </w:r>
            <w:r w:rsidRPr="00042307">
              <w:rPr>
                <w:rFonts w:ascii="TH Sarabun New" w:eastAsiaTheme="minorEastAsia" w:hAnsi="TH Sarabun New" w:cs="TH Sarabun New"/>
                <w:kern w:val="0"/>
                <w:sz w:val="28"/>
                <w:cs/>
                <w14:ligatures w14:val="none"/>
              </w:rPr>
              <w:t>.</w:t>
            </w:r>
          </w:p>
        </w:tc>
        <w:tc>
          <w:tcPr>
            <w:tcW w:w="3402"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3686"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c>
          <w:tcPr>
            <w:tcW w:w="1281" w:type="dxa"/>
          </w:tcPr>
          <w:p w:rsidR="00D7322D" w:rsidRPr="006166A1" w:rsidRDefault="00D7322D" w:rsidP="00B205D8">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tc>
      </w:tr>
    </w:tbl>
    <w:p w:rsidR="00B53289" w:rsidRDefault="00B53289"/>
    <w:sectPr w:rsidR="00B53289" w:rsidSect="00D7322D">
      <w:pgSz w:w="15840" w:h="12240" w:orient="landscape"/>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2D"/>
    <w:rsid w:val="00B53289"/>
    <w:rsid w:val="00D7322D"/>
    <w:rsid w:val="00EF3F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DC58"/>
  <w15:chartTrackingRefBased/>
  <w15:docId w15:val="{4C9B81E5-B039-48EF-AC2C-903227A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2D"/>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2024-04-03T03:46:00Z</dcterms:created>
  <dcterms:modified xsi:type="dcterms:W3CDTF">2024-04-03T03:50:00Z</dcterms:modified>
</cp:coreProperties>
</file>